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724826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  <w:r>
        <w:rPr>
          <w:rFonts w:ascii="Times New Roman" w:eastAsia="黑体" w:hAnsi="Times New Roman" w:cs="黑体" w:hint="eastAsia"/>
          <w:sz w:val="44"/>
          <w:szCs w:val="44"/>
        </w:rPr>
        <w:t>广东省</w:t>
      </w:r>
      <w:r>
        <w:rPr>
          <w:rFonts w:ascii="Times New Roman" w:eastAsia="黑体" w:hAnsi="Times New Roman" w:cs="黑体" w:hint="eastAsia"/>
          <w:sz w:val="44"/>
          <w:szCs w:val="44"/>
          <w:lang w:eastAsia="zh-Hans"/>
        </w:rPr>
        <w:t>数据知识产权</w:t>
      </w:r>
      <w:r>
        <w:rPr>
          <w:rFonts w:ascii="Times New Roman" w:eastAsia="黑体" w:hAnsi="Times New Roman" w:cs="黑体" w:hint="eastAsia"/>
          <w:sz w:val="44"/>
          <w:szCs w:val="44"/>
        </w:rPr>
        <w:t>存证</w:t>
      </w:r>
      <w:r>
        <w:rPr>
          <w:rFonts w:ascii="Times New Roman" w:eastAsia="黑体" w:hAnsi="Times New Roman" w:cs="黑体" w:hint="eastAsia"/>
          <w:sz w:val="44"/>
          <w:szCs w:val="44"/>
          <w:lang w:eastAsia="zh-Hans"/>
        </w:rPr>
        <w:t>登记</w:t>
      </w:r>
      <w:r>
        <w:rPr>
          <w:rFonts w:ascii="Times New Roman" w:eastAsia="黑体" w:hAnsi="Times New Roman" w:cs="黑体" w:hint="eastAsia"/>
          <w:sz w:val="44"/>
          <w:szCs w:val="44"/>
        </w:rPr>
        <w:t>平台</w:t>
      </w:r>
    </w:p>
    <w:p w:rsidR="00582D98" w:rsidRDefault="00724826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  <w:r>
        <w:rPr>
          <w:rFonts w:ascii="Times New Roman" w:eastAsia="黑体" w:hAnsi="Times New Roman" w:cs="黑体" w:hint="eastAsia"/>
          <w:sz w:val="44"/>
          <w:szCs w:val="44"/>
        </w:rPr>
        <w:t>用户</w:t>
      </w:r>
      <w:r>
        <w:rPr>
          <w:rFonts w:ascii="Times New Roman" w:eastAsia="黑体" w:hAnsi="Times New Roman" w:cs="黑体" w:hint="eastAsia"/>
          <w:sz w:val="44"/>
          <w:szCs w:val="44"/>
        </w:rPr>
        <w:t>操作手册</w:t>
      </w: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582D98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44"/>
          <w:szCs w:val="44"/>
        </w:rPr>
      </w:pPr>
    </w:p>
    <w:p w:rsidR="00582D98" w:rsidRDefault="00724826">
      <w:pPr>
        <w:spacing w:beforeLines="50" w:before="156" w:afterLines="50" w:after="156"/>
        <w:jc w:val="center"/>
        <w:rPr>
          <w:rFonts w:ascii="Times New Roman" w:eastAsia="黑体" w:hAnsi="Times New Roman" w:cs="黑体"/>
          <w:sz w:val="30"/>
          <w:szCs w:val="30"/>
        </w:rPr>
        <w:sectPr w:rsidR="00582D98">
          <w:headerReference w:type="default" r:id="rId7"/>
          <w:footerReference w:type="default" r:id="rId8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r>
        <w:rPr>
          <w:rFonts w:ascii="Times New Roman" w:eastAsia="黑体" w:hAnsi="Times New Roman" w:cs="黑体" w:hint="eastAsia"/>
          <w:sz w:val="30"/>
          <w:szCs w:val="30"/>
        </w:rPr>
        <w:t>2026</w:t>
      </w:r>
      <w:r>
        <w:rPr>
          <w:rFonts w:ascii="Times New Roman" w:eastAsia="黑体" w:hAnsi="Times New Roman" w:cs="黑体" w:hint="eastAsia"/>
          <w:sz w:val="30"/>
          <w:szCs w:val="30"/>
        </w:rPr>
        <w:t>年</w:t>
      </w:r>
      <w:r>
        <w:rPr>
          <w:rFonts w:ascii="Times New Roman" w:eastAsia="黑体" w:hAnsi="Times New Roman" w:cs="黑体" w:hint="eastAsia"/>
          <w:sz w:val="30"/>
          <w:szCs w:val="30"/>
        </w:rPr>
        <w:t>4</w:t>
      </w:r>
      <w:r>
        <w:rPr>
          <w:rFonts w:ascii="Times New Roman" w:eastAsia="黑体" w:hAnsi="Times New Roman" w:cs="黑体" w:hint="eastAsia"/>
          <w:sz w:val="30"/>
          <w:szCs w:val="30"/>
        </w:rPr>
        <w:t>月</w:t>
      </w:r>
    </w:p>
    <w:p w:rsidR="00582D98" w:rsidRDefault="00724826">
      <w:pPr>
        <w:pStyle w:val="2"/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lastRenderedPageBreak/>
        <w:t>一、</w:t>
      </w:r>
      <w:r>
        <w:rPr>
          <w:rFonts w:ascii="Times New Roman" w:eastAsia="仿宋" w:hAnsi="Times New Roman" w:cs="仿宋" w:hint="eastAsia"/>
        </w:rPr>
        <w:t>公众端</w:t>
      </w:r>
      <w:r>
        <w:rPr>
          <w:rFonts w:ascii="Times New Roman" w:eastAsia="仿宋" w:hAnsi="Times New Roman" w:cs="仿宋" w:hint="eastAsia"/>
        </w:rPr>
        <w:t>平台简介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在广东省市场监督管理局（知识产权局）的指导下，广东省知识产权保护中心依据《广东省数据知识产权地方试点工作实施方案》建设广东省数据知识产权存证登记平台（以下简称“登记平台”）。平台提供数据知识产权存证登记、公示、发证等服务，鼓励创新主体对依法依规获取的、经过一定规则处理形成的、具有商业价值的数据集合进行数据知识产权登记。</w:t>
      </w:r>
    </w:p>
    <w:p w:rsidR="00582D98" w:rsidRDefault="00724826">
      <w:pPr>
        <w:pStyle w:val="2"/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t>二、平台登录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通过输入网址</w:t>
      </w:r>
      <w:r>
        <w:rPr>
          <w:rFonts w:ascii="仿宋" w:eastAsia="仿宋" w:hAnsi="仿宋" w:hint="eastAsia"/>
          <w:sz w:val="32"/>
          <w:szCs w:val="32"/>
        </w:rPr>
        <w:t>https://</w:t>
      </w:r>
      <w:r>
        <w:rPr>
          <w:rFonts w:ascii="仿宋" w:eastAsia="仿宋" w:hAnsi="仿宋"/>
          <w:sz w:val="32"/>
          <w:szCs w:val="32"/>
        </w:rPr>
        <w:t xml:space="preserve"> data.gpic.gd.cn</w:t>
      </w:r>
      <w:r>
        <w:rPr>
          <w:rFonts w:ascii="仿宋" w:eastAsia="仿宋" w:hAnsi="仿宋" w:hint="eastAsia"/>
          <w:sz w:val="32"/>
          <w:szCs w:val="32"/>
        </w:rPr>
        <w:t>,</w:t>
      </w:r>
      <w:r>
        <w:rPr>
          <w:rFonts w:ascii="仿宋" w:eastAsia="仿宋" w:hAnsi="仿宋" w:hint="eastAsia"/>
          <w:sz w:val="32"/>
          <w:szCs w:val="32"/>
        </w:rPr>
        <w:t>可以进入登记平台。用户点击登录后，需要使用广东统一身份认证平台的账号信息来进行登录，登录后将自动跳转到登记平台。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bookmarkStart w:id="0" w:name="_GoBack"/>
      <w:r>
        <w:rPr>
          <w:noProof/>
        </w:rPr>
        <w:drawing>
          <wp:inline distT="0" distB="0" distL="0" distR="0">
            <wp:extent cx="5274310" cy="230822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用户首次登录后，需先在用户中心完善下用户信息主要包括单位性质、所属地域、业务范围信息等内容。操作方式是，用户登录，依次点击用户名—用户中心。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274310" cy="217297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3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点击信息修改，可进入信息编辑页面，对信息进行完善补充后，点击保存。</w:t>
      </w:r>
    </w:p>
    <w:p w:rsidR="00582D98" w:rsidRDefault="00724826">
      <w:pPr>
        <w:pStyle w:val="3"/>
        <w:numPr>
          <w:ilvl w:val="0"/>
          <w:numId w:val="2"/>
        </w:numPr>
        <w:tabs>
          <w:tab w:val="clear" w:pos="312"/>
        </w:tabs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个人用户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登记主体为个人，登记主体信息修改页面如下：</w:t>
      </w:r>
    </w:p>
    <w:p w:rsidR="00582D98" w:rsidRDefault="00724826">
      <w:r>
        <w:rPr>
          <w:noProof/>
        </w:rPr>
        <w:drawing>
          <wp:inline distT="0" distB="0" distL="114300" distR="114300">
            <wp:extent cx="5274310" cy="3658870"/>
            <wp:effectExtent l="0" t="0" r="2540" b="825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5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4719955" cy="1466215"/>
            <wp:effectExtent l="0" t="0" r="4445" b="635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19955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3"/>
        <w:numPr>
          <w:ilvl w:val="0"/>
          <w:numId w:val="2"/>
        </w:numPr>
        <w:tabs>
          <w:tab w:val="clear" w:pos="312"/>
        </w:tabs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机构用户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289877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9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pPr>
        <w:pStyle w:val="2"/>
        <w:numPr>
          <w:ilvl w:val="0"/>
          <w:numId w:val="3"/>
        </w:numPr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t>首页</w:t>
      </w:r>
    </w:p>
    <w:p w:rsidR="00582D98" w:rsidRDefault="00724826">
      <w:pPr>
        <w:ind w:firstLineChars="200" w:firstLine="640"/>
        <w:rPr>
          <w:szCs w:val="24"/>
        </w:rPr>
      </w:pPr>
      <w:r>
        <w:rPr>
          <w:rFonts w:ascii="仿宋" w:eastAsia="仿宋" w:hAnsi="仿宋" w:hint="eastAsia"/>
          <w:sz w:val="32"/>
          <w:szCs w:val="32"/>
        </w:rPr>
        <w:t>未登录时页头区包含网站</w:t>
      </w:r>
      <w:r>
        <w:rPr>
          <w:rFonts w:ascii="仿宋" w:eastAsia="仿宋" w:hAnsi="仿宋" w:hint="eastAsia"/>
          <w:sz w:val="32"/>
          <w:szCs w:val="32"/>
        </w:rPr>
        <w:t>LOGO</w:t>
      </w:r>
      <w:r>
        <w:rPr>
          <w:rFonts w:ascii="仿宋" w:eastAsia="仿宋" w:hAnsi="仿宋" w:hint="eastAsia"/>
          <w:sz w:val="32"/>
          <w:szCs w:val="32"/>
        </w:rPr>
        <w:t>、登录入口、注册入口等。用户登录成功后，页头登录入口和注册入口显示会员账号信息，会员账号处可以进入会员中心。</w:t>
      </w:r>
    </w:p>
    <w:p w:rsidR="00582D98" w:rsidRDefault="00724826">
      <w:pPr>
        <w:ind w:firstLine="480"/>
      </w:pPr>
      <w:r>
        <w:rPr>
          <w:noProof/>
        </w:rPr>
        <w:drawing>
          <wp:inline distT="0" distB="0" distL="114300" distR="114300">
            <wp:extent cx="5267325" cy="1205230"/>
            <wp:effectExtent l="0" t="0" r="9525" b="13970"/>
            <wp:docPr id="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20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用户点击登录</w:t>
      </w:r>
      <w:r>
        <w:rPr>
          <w:rFonts w:ascii="仿宋" w:eastAsia="仿宋" w:hAnsi="仿宋" w:hint="eastAsia"/>
          <w:sz w:val="32"/>
          <w:szCs w:val="32"/>
        </w:rPr>
        <w:t>/</w:t>
      </w:r>
      <w:r>
        <w:rPr>
          <w:rFonts w:ascii="仿宋" w:eastAsia="仿宋" w:hAnsi="仿宋" w:hint="eastAsia"/>
          <w:sz w:val="32"/>
          <w:szCs w:val="32"/>
        </w:rPr>
        <w:t>注册，跳转到广东用户统一认证。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、</w:t>
      </w:r>
      <w:r>
        <w:rPr>
          <w:rFonts w:ascii="仿宋" w:eastAsia="仿宋" w:hAnsi="仿宋" w:hint="eastAsia"/>
          <w:sz w:val="32"/>
          <w:szCs w:val="32"/>
        </w:rPr>
        <w:t>导航区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导航区展示</w:t>
      </w:r>
      <w:r>
        <w:rPr>
          <w:rFonts w:ascii="仿宋" w:eastAsia="仿宋" w:hAnsi="仿宋" w:hint="eastAsia"/>
          <w:sz w:val="32"/>
          <w:szCs w:val="32"/>
        </w:rPr>
        <w:t>平台主要功能系统导引，包括登记存证、公示查询、证书查询、存证校验、交易运营、数据监测。点击可以进入相应功能系统。</w:t>
      </w:r>
    </w:p>
    <w:p w:rsidR="00582D98" w:rsidRDefault="00724826">
      <w:pPr>
        <w:ind w:firstLine="480"/>
      </w:pPr>
      <w:r>
        <w:rPr>
          <w:noProof/>
        </w:rPr>
        <w:drawing>
          <wp:inline distT="0" distB="0" distL="0" distR="0">
            <wp:extent cx="5274310" cy="544195"/>
            <wp:effectExtent l="0" t="0" r="2540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、页面内容区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页面内容区包括菜单指引、平台介绍、登记流程介绍、最新存证信息等。</w:t>
      </w:r>
    </w:p>
    <w:p w:rsidR="00582D98" w:rsidRDefault="00724826">
      <w:pPr>
        <w:ind w:firstLine="480"/>
      </w:pPr>
      <w:r>
        <w:rPr>
          <w:noProof/>
        </w:rPr>
        <w:drawing>
          <wp:inline distT="0" distB="0" distL="0" distR="0">
            <wp:extent cx="5274310" cy="2769235"/>
            <wp:effectExtent l="0" t="0" r="2540" b="1206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r>
        <w:rPr>
          <w:noProof/>
        </w:rPr>
        <w:lastRenderedPageBreak/>
        <w:drawing>
          <wp:inline distT="0" distB="0" distL="0" distR="0">
            <wp:extent cx="5274310" cy="2872105"/>
            <wp:effectExtent l="0" t="0" r="2540" b="444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r>
        <w:rPr>
          <w:noProof/>
        </w:rPr>
        <w:drawing>
          <wp:inline distT="0" distB="0" distL="114300" distR="114300">
            <wp:extent cx="5271135" cy="1196975"/>
            <wp:effectExtent l="0" t="0" r="5715" b="3175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19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</w:t>
      </w:r>
      <w:r>
        <w:rPr>
          <w:rFonts w:ascii="仿宋" w:eastAsia="仿宋" w:hAnsi="仿宋" w:hint="eastAsia"/>
          <w:sz w:val="32"/>
          <w:szCs w:val="32"/>
        </w:rPr>
        <w:t>1</w:t>
      </w:r>
      <w:r>
        <w:rPr>
          <w:rFonts w:ascii="仿宋" w:eastAsia="仿宋" w:hAnsi="仿宋" w:hint="eastAsia"/>
          <w:sz w:val="32"/>
          <w:szCs w:val="32"/>
        </w:rPr>
        <w:t>）最新消息发布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点击标题，可以查看《广东省数据知识产权登记服务指引（试行）》的详情。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</w:t>
      </w:r>
      <w:r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）菜单指引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包括“我要登记”、“登记公示”、“证书查询”、“操作指引”功能的快速入口。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</w:t>
      </w:r>
      <w:r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）平台介绍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显示平台介绍内容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</w:t>
      </w:r>
      <w:r>
        <w:rPr>
          <w:rFonts w:ascii="仿宋" w:eastAsia="仿宋" w:hAnsi="仿宋" w:hint="eastAsia"/>
          <w:sz w:val="32"/>
          <w:szCs w:val="32"/>
        </w:rPr>
        <w:t>4</w:t>
      </w:r>
      <w:r>
        <w:rPr>
          <w:rFonts w:ascii="仿宋" w:eastAsia="仿宋" w:hAnsi="仿宋" w:hint="eastAsia"/>
          <w:sz w:val="32"/>
          <w:szCs w:val="32"/>
        </w:rPr>
        <w:t>）登记流程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显示平台登记流程信息，指引用户正确使用。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（</w:t>
      </w:r>
      <w:r>
        <w:rPr>
          <w:rFonts w:ascii="仿宋" w:eastAsia="仿宋" w:hAnsi="仿宋" w:hint="eastAsia"/>
          <w:sz w:val="32"/>
          <w:szCs w:val="32"/>
        </w:rPr>
        <w:t>5</w:t>
      </w:r>
      <w:r>
        <w:rPr>
          <w:rFonts w:ascii="仿宋" w:eastAsia="仿宋" w:hAnsi="仿宋" w:hint="eastAsia"/>
          <w:sz w:val="32"/>
          <w:szCs w:val="32"/>
        </w:rPr>
        <w:t>）数据显示区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数据信息需要实时更新。有新增存证后，页面刷新就会发送变化。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登记申请量：用户提交到平台存证的数据数量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登记受理量：平台已受理的数据数量。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登记申请主体：使用平台做登记存证的主体数量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登记证书：平台已正式颁布的证书数量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登记数据量：用户申请表中，填写的数据总量。</w:t>
      </w:r>
    </w:p>
    <w:p w:rsidR="00582D98" w:rsidRDefault="00724826">
      <w:pPr>
        <w:pStyle w:val="2"/>
        <w:numPr>
          <w:ilvl w:val="0"/>
          <w:numId w:val="3"/>
        </w:numPr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t>数据知识权产权登记</w:t>
      </w:r>
      <w:r>
        <w:rPr>
          <w:rFonts w:ascii="Times New Roman" w:eastAsia="仿宋" w:hAnsi="Times New Roman" w:cs="仿宋" w:hint="eastAsia"/>
        </w:rPr>
        <w:t>-</w:t>
      </w:r>
      <w:r>
        <w:rPr>
          <w:rFonts w:ascii="Times New Roman" w:eastAsia="仿宋" w:hAnsi="Times New Roman" w:cs="仿宋" w:hint="eastAsia"/>
        </w:rPr>
        <w:t>用户后台</w:t>
      </w:r>
    </w:p>
    <w:p w:rsidR="00582D98" w:rsidRDefault="00724826">
      <w:pPr>
        <w:pStyle w:val="3"/>
        <w:numPr>
          <w:ilvl w:val="0"/>
          <w:numId w:val="4"/>
        </w:numPr>
        <w:tabs>
          <w:tab w:val="clear" w:pos="312"/>
        </w:tabs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新增登记申请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用户登录系统后，可进行数据知识产权存证登记。首页点击“我要</w:t>
      </w:r>
      <w:r>
        <w:rPr>
          <w:rFonts w:ascii="仿宋" w:eastAsia="仿宋" w:hAnsi="仿宋" w:hint="eastAsia"/>
          <w:sz w:val="32"/>
          <w:szCs w:val="32"/>
        </w:rPr>
        <w:t>登记</w:t>
      </w:r>
      <w:r>
        <w:rPr>
          <w:rFonts w:ascii="仿宋" w:eastAsia="仿宋" w:hAnsi="仿宋" w:hint="eastAsia"/>
          <w:sz w:val="32"/>
          <w:szCs w:val="32"/>
        </w:rPr>
        <w:t>”，进入存证登记页面。在线填写数据名称、数据简介、关键词、数据所属行业分类等信息，上传数据来源证明材料、承诺书等材料。</w:t>
      </w:r>
    </w:p>
    <w:p w:rsidR="00582D98" w:rsidRDefault="00724826">
      <w:pPr>
        <w:numPr>
          <w:ilvl w:val="0"/>
          <w:numId w:val="5"/>
        </w:num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</w:t>
      </w:r>
      <w:r>
        <w:rPr>
          <w:rFonts w:ascii="仿宋" w:eastAsia="仿宋" w:hAnsi="仿宋" w:hint="eastAsia"/>
          <w:sz w:val="32"/>
          <w:szCs w:val="32"/>
        </w:rPr>
        <w:t>/</w:t>
      </w:r>
      <w:r>
        <w:rPr>
          <w:rFonts w:ascii="仿宋" w:eastAsia="仿宋" w:hAnsi="仿宋" w:hint="eastAsia"/>
          <w:sz w:val="32"/>
          <w:szCs w:val="32"/>
        </w:rPr>
        <w:t>服务机构提交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个人用户可为自己提交登记申请，【是否代表机构登记】选项可设置为“否”。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服务机构代表用户提交登记申请，【是否代表机构登记】选项可设置为“是”，这时需要上传《授权委托书》附件、机构登记身份证明材料等。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lastRenderedPageBreak/>
        <w:drawing>
          <wp:inline distT="0" distB="0" distL="114300" distR="114300">
            <wp:extent cx="5265420" cy="2145030"/>
            <wp:effectExtent l="0" t="0" r="11430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5"/>
        </w:num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联合申请</w:t>
      </w:r>
    </w:p>
    <w:p w:rsidR="00582D98" w:rsidRDefault="00724826">
      <w:pPr>
        <w:spacing w:line="360" w:lineRule="auto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当登记申请为多个主体联合申请时，可勾选【是否联合申请】为“是”，然后在页面上点击“添加申请人”，补充填写其余登记主体的信息。</w:t>
      </w:r>
    </w:p>
    <w:p w:rsidR="00582D98" w:rsidRDefault="00724826">
      <w:r>
        <w:rPr>
          <w:noProof/>
        </w:rPr>
        <w:drawing>
          <wp:inline distT="0" distB="0" distL="114300" distR="114300">
            <wp:extent cx="5273675" cy="3432175"/>
            <wp:effectExtent l="0" t="0" r="3175" b="6350"/>
            <wp:docPr id="3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5"/>
        </w:num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其余登记信息</w:t>
      </w:r>
    </w:p>
    <w:p w:rsidR="00582D98" w:rsidRDefault="00724826">
      <w:r>
        <w:rPr>
          <w:noProof/>
        </w:rPr>
        <w:lastRenderedPageBreak/>
        <w:drawing>
          <wp:inline distT="0" distB="0" distL="114300" distR="114300">
            <wp:extent cx="5266055" cy="3503295"/>
            <wp:effectExtent l="0" t="0" r="1270" b="1905"/>
            <wp:docPr id="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50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r>
        <w:rPr>
          <w:noProof/>
        </w:rPr>
        <w:drawing>
          <wp:inline distT="0" distB="0" distL="114300" distR="114300">
            <wp:extent cx="5268595" cy="3718560"/>
            <wp:effectExtent l="0" t="0" r="8255" b="5715"/>
            <wp:docPr id="2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7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r>
        <w:rPr>
          <w:noProof/>
        </w:rPr>
        <w:lastRenderedPageBreak/>
        <w:drawing>
          <wp:inline distT="0" distB="0" distL="114300" distR="114300">
            <wp:extent cx="5271770" cy="3724275"/>
            <wp:effectExtent l="0" t="0" r="5080" b="0"/>
            <wp:docPr id="2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r>
        <w:rPr>
          <w:noProof/>
        </w:rPr>
        <w:drawing>
          <wp:inline distT="0" distB="0" distL="114300" distR="114300">
            <wp:extent cx="5268595" cy="3319145"/>
            <wp:effectExtent l="0" t="0" r="8255" b="5080"/>
            <wp:docPr id="2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r>
        <w:rPr>
          <w:noProof/>
        </w:rPr>
        <w:lastRenderedPageBreak/>
        <w:drawing>
          <wp:inline distT="0" distB="0" distL="114300" distR="114300">
            <wp:extent cx="5267325" cy="3667125"/>
            <wp:effectExtent l="0" t="0" r="0" b="0"/>
            <wp:docPr id="3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r>
        <w:rPr>
          <w:noProof/>
        </w:rPr>
        <w:drawing>
          <wp:inline distT="0" distB="0" distL="114300" distR="114300">
            <wp:extent cx="5266690" cy="3686175"/>
            <wp:effectExtent l="0" t="0" r="635" b="0"/>
            <wp:docPr id="3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r>
        <w:rPr>
          <w:noProof/>
        </w:rPr>
        <w:lastRenderedPageBreak/>
        <w:drawing>
          <wp:inline distT="0" distB="0" distL="114300" distR="114300">
            <wp:extent cx="5271135" cy="2926715"/>
            <wp:effectExtent l="0" t="0" r="5715" b="6985"/>
            <wp:docPr id="3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2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5"/>
        </w:num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数据文件上传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数据文件上传的时候提供了两种上传方式，当文件小于</w:t>
      </w:r>
      <w:r>
        <w:rPr>
          <w:rFonts w:ascii="仿宋" w:eastAsia="仿宋" w:hAnsi="仿宋" w:hint="eastAsia"/>
          <w:sz w:val="32"/>
          <w:szCs w:val="32"/>
        </w:rPr>
        <w:t>100M</w:t>
      </w:r>
      <w:r>
        <w:rPr>
          <w:rFonts w:ascii="仿宋" w:eastAsia="仿宋" w:hAnsi="仿宋" w:hint="eastAsia"/>
          <w:sz w:val="32"/>
          <w:szCs w:val="32"/>
        </w:rPr>
        <w:t>时，可以选择本地上传，登记平台将在线生成哈希值。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913765"/>
            <wp:effectExtent l="0" t="0" r="254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1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当数据文件超过</w:t>
      </w:r>
      <w:r>
        <w:rPr>
          <w:rFonts w:ascii="仿宋" w:eastAsia="仿宋" w:hAnsi="仿宋" w:hint="eastAsia"/>
          <w:sz w:val="32"/>
          <w:szCs w:val="32"/>
        </w:rPr>
        <w:t>100M</w:t>
      </w:r>
      <w:r>
        <w:rPr>
          <w:rFonts w:ascii="仿宋" w:eastAsia="仿宋" w:hAnsi="仿宋" w:hint="eastAsia"/>
          <w:sz w:val="32"/>
          <w:szCs w:val="32"/>
        </w:rPr>
        <w:t>时，可以选择离线上传，点击下载小工具</w:t>
      </w:r>
      <w:r>
        <w:rPr>
          <w:rFonts w:ascii="仿宋" w:eastAsia="仿宋" w:hAnsi="仿宋" w:hint="eastAsia"/>
          <w:sz w:val="32"/>
          <w:szCs w:val="32"/>
        </w:rPr>
        <w:t>,</w:t>
      </w:r>
      <w:r>
        <w:rPr>
          <w:rFonts w:ascii="仿宋" w:eastAsia="仿宋" w:hAnsi="仿宋" w:hint="eastAsia"/>
          <w:sz w:val="32"/>
          <w:szCs w:val="32"/>
        </w:rPr>
        <w:t>将需要登记的数据文件添加到小工具中后，会自动生成哈希值，将两个哈希值以及校验码拷贝复制到存证登记页面中。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175768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58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小工具使用：</w:t>
      </w:r>
      <w:r>
        <w:rPr>
          <w:rFonts w:ascii="宋体" w:eastAsia="宋体" w:hAnsi="宋体" w:hint="eastAsia"/>
          <w:sz w:val="32"/>
          <w:szCs w:val="32"/>
        </w:rPr>
        <w:t>①</w:t>
      </w:r>
      <w:r>
        <w:rPr>
          <w:rFonts w:ascii="仿宋" w:eastAsia="仿宋" w:hAnsi="仿宋" w:hint="eastAsia"/>
          <w:sz w:val="32"/>
          <w:szCs w:val="32"/>
        </w:rPr>
        <w:t>点击</w:t>
      </w:r>
      <w:r>
        <w:rPr>
          <w:rFonts w:ascii="仿宋" w:eastAsia="仿宋" w:hAnsi="仿宋" w:hint="eastAsia"/>
          <w:sz w:val="32"/>
          <w:szCs w:val="32"/>
        </w:rPr>
        <w:t>hash</w:t>
      </w:r>
      <w:r>
        <w:rPr>
          <w:rFonts w:ascii="仿宋" w:eastAsia="仿宋" w:hAnsi="仿宋" w:hint="eastAsia"/>
          <w:sz w:val="32"/>
          <w:szCs w:val="32"/>
        </w:rPr>
        <w:t>计算工具</w:t>
      </w:r>
      <w:r>
        <w:rPr>
          <w:rFonts w:ascii="仿宋" w:eastAsia="仿宋" w:hAnsi="仿宋" w:hint="eastAsia"/>
          <w:sz w:val="32"/>
          <w:szCs w:val="32"/>
        </w:rPr>
        <w:t>.exe</w:t>
      </w:r>
      <w:r>
        <w:rPr>
          <w:rFonts w:ascii="仿宋" w:eastAsia="仿宋" w:hAnsi="仿宋" w:hint="eastAsia"/>
          <w:sz w:val="32"/>
          <w:szCs w:val="32"/>
        </w:rPr>
        <w:t>文件，打开工</w:t>
      </w:r>
      <w:r>
        <w:rPr>
          <w:rFonts w:ascii="仿宋" w:eastAsia="仿宋" w:hAnsi="仿宋" w:hint="eastAsia"/>
          <w:sz w:val="32"/>
          <w:szCs w:val="32"/>
        </w:rPr>
        <w:lastRenderedPageBreak/>
        <w:t>具。</w:t>
      </w:r>
      <w:r>
        <w:rPr>
          <w:rFonts w:ascii="宋体" w:eastAsia="宋体" w:hAnsi="宋体" w:hint="eastAsia"/>
          <w:sz w:val="32"/>
          <w:szCs w:val="32"/>
        </w:rPr>
        <w:t>②</w:t>
      </w:r>
      <w:r>
        <w:rPr>
          <w:rFonts w:ascii="仿宋" w:eastAsia="仿宋" w:hAnsi="仿宋" w:hint="eastAsia"/>
          <w:sz w:val="32"/>
          <w:szCs w:val="32"/>
        </w:rPr>
        <w:t>点击选择文件，选择需要登记的文件。</w:t>
      </w:r>
      <w:r>
        <w:rPr>
          <w:rFonts w:ascii="宋体" w:eastAsia="宋体" w:hAnsi="宋体" w:hint="eastAsia"/>
          <w:sz w:val="32"/>
          <w:szCs w:val="32"/>
        </w:rPr>
        <w:t>③</w:t>
      </w:r>
      <w:r>
        <w:rPr>
          <w:rFonts w:ascii="仿宋" w:eastAsia="仿宋" w:hAnsi="仿宋" w:hint="eastAsia"/>
          <w:sz w:val="32"/>
          <w:szCs w:val="32"/>
        </w:rPr>
        <w:t>点击执行，可生成哈希值。下图为小工具打开示例图：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drawing>
          <wp:inline distT="0" distB="0" distL="0" distR="0">
            <wp:extent cx="5274310" cy="318325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3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全部信息填报完成后，点击下载申请书，可针对已填报完成的登记信息导出申请书文件到本地。请核实下申请书信息与填报信息是否一致，如有问题可修改填报信息后，再次导出。申请书模板参见附件。</w:t>
      </w:r>
    </w:p>
    <w:p w:rsidR="00582D98" w:rsidRDefault="00724826">
      <w:pPr>
        <w:jc w:val="center"/>
        <w:rPr>
          <w:rFonts w:ascii="仿宋" w:eastAsia="仿宋" w:hAnsi="仿宋"/>
          <w:sz w:val="32"/>
          <w:szCs w:val="32"/>
        </w:rPr>
      </w:pPr>
      <w:r>
        <w:rPr>
          <w:noProof/>
        </w:rPr>
        <w:lastRenderedPageBreak/>
        <w:drawing>
          <wp:inline distT="0" distB="0" distL="114300" distR="114300">
            <wp:extent cx="4859020" cy="3215640"/>
            <wp:effectExtent l="0" t="0" r="8255" b="3810"/>
            <wp:docPr id="3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859020" cy="321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3"/>
        <w:numPr>
          <w:ilvl w:val="0"/>
          <w:numId w:val="4"/>
        </w:numPr>
        <w:tabs>
          <w:tab w:val="clear" w:pos="312"/>
        </w:tabs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存证登记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用户点击用户名</w:t>
      </w:r>
      <w:r>
        <w:rPr>
          <w:rFonts w:ascii="仿宋" w:eastAsia="仿宋" w:hAnsi="仿宋" w:hint="eastAsia"/>
          <w:sz w:val="32"/>
          <w:szCs w:val="32"/>
        </w:rPr>
        <w:t>-</w:t>
      </w:r>
      <w:r>
        <w:rPr>
          <w:rFonts w:ascii="仿宋" w:eastAsia="仿宋" w:hAnsi="仿宋" w:hint="eastAsia"/>
          <w:sz w:val="32"/>
          <w:szCs w:val="32"/>
        </w:rPr>
        <w:t>存证登记，可以进入数据登记信息管理列表。</w:t>
      </w:r>
    </w:p>
    <w:p w:rsidR="00582D98" w:rsidRDefault="00724826">
      <w:pPr>
        <w:ind w:firstLineChars="200" w:firstLine="640"/>
      </w:pPr>
      <w:r>
        <w:rPr>
          <w:rFonts w:ascii="仿宋" w:eastAsia="仿宋" w:hAnsi="仿宋" w:hint="eastAsia"/>
          <w:sz w:val="32"/>
          <w:szCs w:val="32"/>
        </w:rPr>
        <w:t>数据登记信息管理列表可对数据登记信息进行查询，查询字段包括：存证时间、数据名称和数据状态。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drawing>
          <wp:inline distT="0" distB="0" distL="114300" distR="114300">
            <wp:extent cx="5293995" cy="1378585"/>
            <wp:effectExtent l="0" t="0" r="0" b="0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32"/>
                    <a:srcRect r="-482" b="54818"/>
                    <a:stretch>
                      <a:fillRect/>
                    </a:stretch>
                  </pic:blipFill>
                  <pic:spPr>
                    <a:xfrm>
                      <a:off x="0" y="0"/>
                      <a:ext cx="5293995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6"/>
        </w:num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未提交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登记申请填报完成后，可点击保存，进入列表页面。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未提交状态的申请，可进行查看、编辑和删除。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lastRenderedPageBreak/>
        <w:drawing>
          <wp:inline distT="0" distB="0" distL="114300" distR="114300">
            <wp:extent cx="5269230" cy="1210945"/>
            <wp:effectExtent l="0" t="0" r="7620" b="8255"/>
            <wp:docPr id="2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</w:t>
      </w:r>
      <w:r>
        <w:rPr>
          <w:rFonts w:ascii="仿宋" w:eastAsia="仿宋" w:hAnsi="仿宋" w:hint="eastAsia"/>
          <w:sz w:val="32"/>
          <w:szCs w:val="32"/>
        </w:rPr>
        <w:t>、待审核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登记申请信息提交后，状态为待审核时，可以点击</w:t>
      </w:r>
      <w:r>
        <w:rPr>
          <w:rFonts w:ascii="仿宋" w:eastAsia="仿宋" w:hAnsi="仿宋" w:hint="eastAsia"/>
          <w:sz w:val="32"/>
          <w:szCs w:val="32"/>
        </w:rPr>
        <w:t>“</w:t>
      </w:r>
      <w:r>
        <w:rPr>
          <w:rFonts w:ascii="仿宋" w:eastAsia="仿宋" w:hAnsi="仿宋" w:hint="eastAsia"/>
          <w:sz w:val="32"/>
          <w:szCs w:val="32"/>
        </w:rPr>
        <w:t>撤</w:t>
      </w:r>
      <w:r>
        <w:rPr>
          <w:rFonts w:ascii="仿宋" w:eastAsia="仿宋" w:hAnsi="仿宋" w:hint="eastAsia"/>
          <w:sz w:val="32"/>
          <w:szCs w:val="32"/>
        </w:rPr>
        <w:t>回</w:t>
      </w:r>
      <w:r>
        <w:rPr>
          <w:rFonts w:ascii="仿宋" w:eastAsia="仿宋" w:hAnsi="仿宋" w:hint="eastAsia"/>
          <w:sz w:val="32"/>
          <w:szCs w:val="32"/>
        </w:rPr>
        <w:t>”</w:t>
      </w:r>
      <w:r>
        <w:rPr>
          <w:rFonts w:ascii="仿宋" w:eastAsia="仿宋" w:hAnsi="仿宋" w:hint="eastAsia"/>
          <w:sz w:val="32"/>
          <w:szCs w:val="32"/>
        </w:rPr>
        <w:t>来撤回申请。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3</w:t>
      </w:r>
      <w:r>
        <w:rPr>
          <w:rFonts w:ascii="仿宋" w:eastAsia="仿宋" w:hAnsi="仿宋" w:hint="eastAsia"/>
          <w:sz w:val="32"/>
          <w:szCs w:val="32"/>
        </w:rPr>
        <w:t>、待修改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登记提交进入审核阶段后，登记机构会对用户提交的申请材料进行形式审核，如材料不符合要求需修改完善，用户进入登记平台点击存证登记进入页面，对状态为待修改的登记申请，进行编辑后再提交。</w:t>
      </w:r>
      <w:r>
        <w:rPr>
          <w:rFonts w:ascii="仿宋" w:eastAsia="仿宋" w:hAnsi="仿宋" w:hint="eastAsia"/>
          <w:sz w:val="32"/>
          <w:szCs w:val="32"/>
        </w:rPr>
        <w:t>点击“审核意见”，可查看反馈的修改意见。</w:t>
      </w:r>
    </w:p>
    <w:p w:rsidR="00582D98" w:rsidRDefault="00724826">
      <w:r>
        <w:rPr>
          <w:noProof/>
        </w:rPr>
        <w:drawing>
          <wp:inline distT="0" distB="0" distL="114300" distR="114300">
            <wp:extent cx="5264785" cy="1903730"/>
            <wp:effectExtent l="0" t="0" r="2540" b="1270"/>
            <wp:docPr id="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用户进入编辑页面后，可对登记信息进行修改。修改完成后，可在最后【补正说明】字段中，说明下修改的内容。然后点击提交。</w:t>
      </w:r>
    </w:p>
    <w:p w:rsidR="00582D98" w:rsidRDefault="00724826">
      <w:r>
        <w:rPr>
          <w:noProof/>
        </w:rPr>
        <w:lastRenderedPageBreak/>
        <w:drawing>
          <wp:inline distT="0" distB="0" distL="114300" distR="114300">
            <wp:extent cx="5266690" cy="3032760"/>
            <wp:effectExtent l="0" t="0" r="635" b="5715"/>
            <wp:docPr id="3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3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4</w:t>
      </w:r>
      <w:r>
        <w:rPr>
          <w:rFonts w:ascii="仿宋" w:eastAsia="仿宋" w:hAnsi="仿宋" w:hint="eastAsia"/>
          <w:sz w:val="32"/>
          <w:szCs w:val="32"/>
        </w:rPr>
        <w:t>、公示中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公示中的登记申请，有其他用户提交异议时，可以在“异议数据”中进行管理。</w:t>
      </w:r>
    </w:p>
    <w:p w:rsidR="00582D98" w:rsidRDefault="00724826">
      <w:pPr>
        <w:numPr>
          <w:ilvl w:val="0"/>
          <w:numId w:val="5"/>
        </w:num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注销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登记成功的申请，当登记主体需要注销时，可以点击注销线上发起申请。待管理员审核通过后，登记申请注销。</w:t>
      </w:r>
    </w:p>
    <w:p w:rsidR="00582D98" w:rsidRDefault="00724826">
      <w:r>
        <w:rPr>
          <w:noProof/>
        </w:rPr>
        <w:drawing>
          <wp:inline distT="0" distB="0" distL="114300" distR="114300">
            <wp:extent cx="5269865" cy="2072005"/>
            <wp:effectExtent l="0" t="0" r="6985" b="4445"/>
            <wp:docPr id="5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8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7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3"/>
        <w:numPr>
          <w:ilvl w:val="0"/>
          <w:numId w:val="4"/>
        </w:numPr>
        <w:tabs>
          <w:tab w:val="clear" w:pos="312"/>
        </w:tabs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运营备案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登记主体在个人中心，运营备案数据列表页面，针对已</w:t>
      </w:r>
      <w:r>
        <w:rPr>
          <w:rFonts w:ascii="仿宋" w:eastAsia="仿宋" w:hAnsi="仿宋" w:hint="eastAsia"/>
          <w:sz w:val="32"/>
          <w:szCs w:val="32"/>
        </w:rPr>
        <w:lastRenderedPageBreak/>
        <w:t>经登记成功的数据，提供【运营备案】入口按钮。用户在线填报运营信息，管理员审核通过后，就可以在“数据知识产权交易运营</w:t>
      </w:r>
      <w:r>
        <w:rPr>
          <w:rFonts w:ascii="仿宋" w:eastAsia="仿宋" w:hAnsi="仿宋" w:hint="eastAsia"/>
          <w:sz w:val="32"/>
          <w:szCs w:val="32"/>
        </w:rPr>
        <w:t>-</w:t>
      </w:r>
      <w:r>
        <w:rPr>
          <w:rFonts w:ascii="仿宋" w:eastAsia="仿宋" w:hAnsi="仿宋" w:hint="eastAsia"/>
          <w:sz w:val="32"/>
          <w:szCs w:val="32"/>
        </w:rPr>
        <w:t>数据运营备案”下查询到运营备案信息。</w:t>
      </w:r>
    </w:p>
    <w:p w:rsidR="00582D98" w:rsidRDefault="00724826">
      <w:r>
        <w:rPr>
          <w:noProof/>
        </w:rPr>
        <w:drawing>
          <wp:inline distT="0" distB="0" distL="114300" distR="114300">
            <wp:extent cx="5259705" cy="2916555"/>
            <wp:effectExtent l="0" t="0" r="7620" b="7620"/>
            <wp:docPr id="4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8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用户点击【运营备案】后，进入备案申请表填报页面，提报相关信息。</w:t>
      </w:r>
    </w:p>
    <w:p w:rsidR="00582D98" w:rsidRDefault="00724826">
      <w:pPr>
        <w:spacing w:line="360" w:lineRule="auto"/>
      </w:pPr>
      <w:r>
        <w:rPr>
          <w:noProof/>
        </w:rPr>
        <w:drawing>
          <wp:inline distT="0" distB="0" distL="114300" distR="114300">
            <wp:extent cx="5265420" cy="2679065"/>
            <wp:effectExtent l="0" t="0" r="1905" b="6985"/>
            <wp:docPr id="4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7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其中运营类型部分，可供选择内容如下：</w:t>
      </w:r>
    </w:p>
    <w:p w:rsidR="00582D98" w:rsidRDefault="00724826">
      <w:pPr>
        <w:spacing w:line="360" w:lineRule="auto"/>
      </w:pPr>
      <w:r>
        <w:rPr>
          <w:noProof/>
        </w:rPr>
        <w:lastRenderedPageBreak/>
        <w:drawing>
          <wp:inline distT="0" distB="0" distL="114300" distR="114300">
            <wp:extent cx="5265420" cy="1233170"/>
            <wp:effectExtent l="0" t="0" r="1905" b="5080"/>
            <wp:docPr id="4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用户选择对应运营类型内容，运营备案对应信息会随之更新。</w:t>
      </w:r>
    </w:p>
    <w:p w:rsidR="00582D98" w:rsidRDefault="00724826">
      <w:pPr>
        <w:numPr>
          <w:ilvl w:val="0"/>
          <w:numId w:val="7"/>
        </w:num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质押备案</w:t>
      </w:r>
    </w:p>
    <w:p w:rsidR="00582D98" w:rsidRDefault="00724826">
      <w:pPr>
        <w:spacing w:line="360" w:lineRule="auto"/>
      </w:pPr>
      <w:r>
        <w:rPr>
          <w:noProof/>
        </w:rPr>
        <w:drawing>
          <wp:inline distT="0" distB="0" distL="114300" distR="114300">
            <wp:extent cx="5266055" cy="2106295"/>
            <wp:effectExtent l="0" t="0" r="1270" b="8255"/>
            <wp:docPr id="4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0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7"/>
        </w:num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转让备案</w:t>
      </w:r>
    </w:p>
    <w:p w:rsidR="00582D98" w:rsidRDefault="00724826">
      <w:pPr>
        <w:spacing w:line="360" w:lineRule="auto"/>
      </w:pPr>
      <w:r>
        <w:rPr>
          <w:noProof/>
        </w:rPr>
        <w:drawing>
          <wp:inline distT="0" distB="0" distL="114300" distR="114300">
            <wp:extent cx="5266690" cy="2146300"/>
            <wp:effectExtent l="0" t="0" r="635" b="6350"/>
            <wp:docPr id="4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7"/>
        </w:num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许可备案</w:t>
      </w:r>
    </w:p>
    <w:p w:rsidR="00582D98" w:rsidRDefault="00724826">
      <w:pPr>
        <w:spacing w:line="360" w:lineRule="auto"/>
      </w:pPr>
      <w:r>
        <w:rPr>
          <w:noProof/>
        </w:rPr>
        <w:lastRenderedPageBreak/>
        <w:drawing>
          <wp:inline distT="0" distB="0" distL="114300" distR="114300">
            <wp:extent cx="5269865" cy="2599690"/>
            <wp:effectExtent l="0" t="0" r="6985" b="635"/>
            <wp:docPr id="4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9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7"/>
        </w:num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保险备案</w:t>
      </w:r>
    </w:p>
    <w:p w:rsidR="00582D98" w:rsidRDefault="00724826">
      <w:pPr>
        <w:spacing w:line="360" w:lineRule="auto"/>
      </w:pPr>
      <w:r>
        <w:rPr>
          <w:noProof/>
        </w:rPr>
        <w:drawing>
          <wp:inline distT="0" distB="0" distL="114300" distR="114300">
            <wp:extent cx="5267325" cy="2211705"/>
            <wp:effectExtent l="0" t="0" r="0" b="7620"/>
            <wp:docPr id="5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14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21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7"/>
        </w:numPr>
        <w:spacing w:line="360" w:lineRule="auto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证券化备案</w:t>
      </w:r>
    </w:p>
    <w:p w:rsidR="00582D98" w:rsidRDefault="00724826">
      <w:pPr>
        <w:spacing w:line="360" w:lineRule="auto"/>
      </w:pPr>
      <w:r>
        <w:rPr>
          <w:noProof/>
        </w:rPr>
        <w:drawing>
          <wp:inline distT="0" distB="0" distL="114300" distR="114300">
            <wp:extent cx="5273040" cy="2187575"/>
            <wp:effectExtent l="0" t="0" r="3810" b="3175"/>
            <wp:docPr id="4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5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8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numPr>
          <w:ilvl w:val="0"/>
          <w:numId w:val="7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仿宋" w:eastAsia="仿宋" w:hAnsi="仿宋" w:cs="仿宋" w:hint="eastAsia"/>
          <w:sz w:val="32"/>
          <w:szCs w:val="32"/>
        </w:rPr>
        <w:t>数字资产登记入表备案</w:t>
      </w:r>
    </w:p>
    <w:p w:rsidR="00582D98" w:rsidRDefault="00724826">
      <w:pPr>
        <w:spacing w:line="360" w:lineRule="auto"/>
      </w:pPr>
      <w:r>
        <w:rPr>
          <w:noProof/>
        </w:rPr>
        <w:lastRenderedPageBreak/>
        <w:drawing>
          <wp:inline distT="0" distB="0" distL="114300" distR="114300">
            <wp:extent cx="5269230" cy="1483995"/>
            <wp:effectExtent l="0" t="0" r="7620" b="1905"/>
            <wp:docPr id="4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信息填报完成后，可导出文件到本地，盖章后扫描上传到系统中。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生成的备案申请书样例如下：</w:t>
      </w:r>
    </w:p>
    <w:p w:rsidR="00582D98" w:rsidRDefault="00724826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114300" distR="114300">
            <wp:extent cx="4463415" cy="6087110"/>
            <wp:effectExtent l="0" t="0" r="3810" b="8890"/>
            <wp:docPr id="50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17"/>
                    <pic:cNvPicPr>
                      <a:picLocks noChangeAspect="1"/>
                    </pic:cNvPicPr>
                  </pic:nvPicPr>
                  <pic:blipFill>
                    <a:blip r:embed="rId46"/>
                    <a:srcRect b="5080"/>
                    <a:stretch>
                      <a:fillRect/>
                    </a:stretch>
                  </pic:blipFill>
                  <pic:spPr>
                    <a:xfrm>
                      <a:off x="0" y="0"/>
                      <a:ext cx="4463415" cy="608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3"/>
        <w:numPr>
          <w:ilvl w:val="0"/>
          <w:numId w:val="4"/>
        </w:numPr>
        <w:tabs>
          <w:tab w:val="clear" w:pos="312"/>
        </w:tabs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异议数据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异议数据列表中可对用户自己发起异议的数据，以及别人对用户公示中发起异议的数据进行查询。</w:t>
      </w:r>
    </w:p>
    <w:p w:rsidR="00582D98" w:rsidRDefault="00724826">
      <w:r>
        <w:rPr>
          <w:noProof/>
        </w:rPr>
        <w:lastRenderedPageBreak/>
        <w:drawing>
          <wp:inline distT="0" distB="0" distL="114300" distR="114300">
            <wp:extent cx="5269230" cy="1656715"/>
            <wp:effectExtent l="0" t="0" r="7620" b="635"/>
            <wp:docPr id="3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6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针对别人发起的异议，登记主体可提交证明材料给管理员进行解决。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drawing>
          <wp:inline distT="0" distB="0" distL="114300" distR="114300">
            <wp:extent cx="5271135" cy="1683385"/>
            <wp:effectExtent l="0" t="0" r="5715" b="2540"/>
            <wp:docPr id="4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7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8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2"/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t>五</w:t>
      </w:r>
      <w:r>
        <w:rPr>
          <w:rFonts w:ascii="Times New Roman" w:eastAsia="仿宋" w:hAnsi="Times New Roman" w:cs="仿宋" w:hint="eastAsia"/>
        </w:rPr>
        <w:t>、数据知识权产权公示查询</w:t>
      </w:r>
    </w:p>
    <w:p w:rsidR="00582D98" w:rsidRDefault="00724826">
      <w:pPr>
        <w:pStyle w:val="3"/>
        <w:numPr>
          <w:ilvl w:val="0"/>
          <w:numId w:val="8"/>
        </w:numPr>
        <w:tabs>
          <w:tab w:val="clear" w:pos="312"/>
        </w:tabs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公示信息查询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用户点击公示查询后可进入公示查询页面。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点击数据名称可以查看公示详细信息。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可支持按照数据名称、申请人、公示截止日期进行查询。</w:t>
      </w:r>
    </w:p>
    <w:p w:rsidR="00582D98" w:rsidRDefault="00724826">
      <w:r>
        <w:rPr>
          <w:noProof/>
        </w:rPr>
        <w:lastRenderedPageBreak/>
        <w:drawing>
          <wp:inline distT="0" distB="0" distL="114300" distR="114300">
            <wp:extent cx="5263515" cy="2563495"/>
            <wp:effectExtent l="0" t="0" r="3810" b="8255"/>
            <wp:docPr id="3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4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3"/>
        <w:numPr>
          <w:ilvl w:val="0"/>
          <w:numId w:val="8"/>
        </w:numPr>
        <w:tabs>
          <w:tab w:val="clear" w:pos="312"/>
        </w:tabs>
        <w:rPr>
          <w:rFonts w:ascii="仿宋" w:eastAsia="仿宋" w:hAnsi="仿宋"/>
          <w:szCs w:val="32"/>
        </w:rPr>
      </w:pPr>
      <w:r>
        <w:rPr>
          <w:rFonts w:ascii="仿宋" w:eastAsia="仿宋" w:hAnsi="仿宋" w:hint="eastAsia"/>
          <w:szCs w:val="32"/>
        </w:rPr>
        <w:t>公示信息异议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对于处于公示中的登记申请，用户可以发起异议。</w:t>
      </w:r>
    </w:p>
    <w:p w:rsidR="00582D98" w:rsidRDefault="00724826">
      <w:pPr>
        <w:rPr>
          <w:rFonts w:ascii="仿宋" w:eastAsia="仿宋" w:hAnsi="仿宋"/>
          <w:sz w:val="32"/>
          <w:szCs w:val="32"/>
        </w:rPr>
      </w:pPr>
      <w:r>
        <w:rPr>
          <w:noProof/>
        </w:rPr>
        <w:drawing>
          <wp:inline distT="0" distB="0" distL="114300" distR="114300">
            <wp:extent cx="5272405" cy="2045970"/>
            <wp:effectExtent l="0" t="0" r="4445" b="1905"/>
            <wp:docPr id="3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5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2"/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t>六</w:t>
      </w:r>
      <w:r>
        <w:rPr>
          <w:rFonts w:ascii="Times New Roman" w:eastAsia="仿宋" w:hAnsi="Times New Roman" w:cs="仿宋" w:hint="eastAsia"/>
        </w:rPr>
        <w:t>、数据知识权产权证书查询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用户点击证书查询后可进入证书查询页面。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点击证书编号、登记名称可以查看证书详细信息。</w:t>
      </w:r>
    </w:p>
    <w:p w:rsidR="00582D98" w:rsidRDefault="00724826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证书查询可支持按照所属区域（省、市、区）进行分区查询。</w:t>
      </w:r>
    </w:p>
    <w:p w:rsidR="00582D98" w:rsidRDefault="00724826">
      <w:pPr>
        <w:rPr>
          <w:rFonts w:ascii="Times New Roman" w:eastAsia="仿宋" w:hAnsi="Times New Roman" w:cs="仿宋"/>
          <w:sz w:val="32"/>
          <w:szCs w:val="32"/>
        </w:rPr>
      </w:pPr>
      <w:r>
        <w:rPr>
          <w:noProof/>
        </w:rPr>
        <w:lastRenderedPageBreak/>
        <w:drawing>
          <wp:inline distT="0" distB="0" distL="114300" distR="114300">
            <wp:extent cx="5272405" cy="2378710"/>
            <wp:effectExtent l="0" t="0" r="4445" b="2540"/>
            <wp:docPr id="2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5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7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Times New Roman" w:eastAsia="仿宋" w:hAnsi="Times New Roman" w:cs="仿宋"/>
          <w:sz w:val="32"/>
          <w:szCs w:val="32"/>
        </w:rPr>
      </w:pPr>
      <w:r>
        <w:rPr>
          <w:rFonts w:ascii="Times New Roman" w:eastAsia="仿宋" w:hAnsi="Times New Roman" w:cs="仿宋" w:hint="eastAsia"/>
          <w:sz w:val="32"/>
          <w:szCs w:val="32"/>
        </w:rPr>
        <w:t>证书详细信息页面，点击证书下载，可以将电子版证书下载到本地。登记样例如下：</w:t>
      </w:r>
    </w:p>
    <w:p w:rsidR="00582D98" w:rsidRDefault="00724826">
      <w:pPr>
        <w:rPr>
          <w:rFonts w:ascii="Times New Roman" w:eastAsia="仿宋" w:hAnsi="Times New Roman" w:cs="仿宋"/>
          <w:sz w:val="32"/>
          <w:szCs w:val="32"/>
        </w:rPr>
      </w:pPr>
      <w:r>
        <w:rPr>
          <w:noProof/>
        </w:rPr>
        <w:lastRenderedPageBreak/>
        <w:drawing>
          <wp:inline distT="0" distB="0" distL="114300" distR="114300">
            <wp:extent cx="5268595" cy="7585075"/>
            <wp:effectExtent l="0" t="0" r="8255" b="15875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58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2"/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t>七</w:t>
      </w:r>
      <w:r>
        <w:rPr>
          <w:rFonts w:ascii="Times New Roman" w:eastAsia="仿宋" w:hAnsi="Times New Roman" w:cs="仿宋" w:hint="eastAsia"/>
        </w:rPr>
        <w:t>、数据知识权产权存证校验</w:t>
      </w:r>
    </w:p>
    <w:p w:rsidR="00582D98" w:rsidRDefault="00724826">
      <w:pPr>
        <w:ind w:firstLineChars="200" w:firstLine="640"/>
        <w:jc w:val="left"/>
        <w:rPr>
          <w:rFonts w:ascii="Times New Roman" w:eastAsia="仿宋" w:hAnsi="Times New Roman" w:cs="仿宋"/>
          <w:sz w:val="32"/>
          <w:szCs w:val="32"/>
        </w:rPr>
      </w:pPr>
      <w:r>
        <w:rPr>
          <w:rFonts w:ascii="Times New Roman" w:eastAsia="仿宋" w:hAnsi="Times New Roman" w:cs="仿宋" w:hint="eastAsia"/>
          <w:sz w:val="32"/>
          <w:szCs w:val="32"/>
        </w:rPr>
        <w:t>登记平台提供平台颁发证书的信息核验，包括在线校验</w:t>
      </w:r>
      <w:r>
        <w:rPr>
          <w:rFonts w:ascii="Times New Roman" w:eastAsia="仿宋" w:hAnsi="Times New Roman" w:cs="仿宋" w:hint="eastAsia"/>
          <w:sz w:val="32"/>
          <w:szCs w:val="32"/>
        </w:rPr>
        <w:lastRenderedPageBreak/>
        <w:t>和离线校验两种方式。用户选择在线校验，需要填写平台证书编号、验证码以及上传登记使用的数据文件，点击开始验证来进行校验。</w:t>
      </w:r>
      <w:r>
        <w:rPr>
          <w:noProof/>
        </w:rPr>
        <w:drawing>
          <wp:inline distT="0" distB="0" distL="0" distR="0">
            <wp:extent cx="5274310" cy="4048760"/>
            <wp:effectExtent l="0" t="0" r="2540" b="889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9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pPr>
        <w:ind w:firstLineChars="200" w:firstLine="640"/>
        <w:rPr>
          <w:rFonts w:ascii="Times New Roman" w:eastAsia="仿宋" w:hAnsi="Times New Roman" w:cs="仿宋"/>
          <w:sz w:val="32"/>
          <w:szCs w:val="32"/>
        </w:rPr>
      </w:pPr>
      <w:r>
        <w:rPr>
          <w:rFonts w:ascii="Times New Roman" w:eastAsia="仿宋" w:hAnsi="Times New Roman" w:cs="仿宋" w:hint="eastAsia"/>
          <w:sz w:val="32"/>
          <w:szCs w:val="32"/>
        </w:rPr>
        <w:t>用户选择离线校验，需填写平台证书编号、验证码以及登记时填写的哈希值信息，点击开始验证来进行校验。</w:t>
      </w:r>
    </w:p>
    <w:p w:rsidR="00582D98" w:rsidRDefault="00724826">
      <w:pPr>
        <w:jc w:val="left"/>
        <w:rPr>
          <w:rFonts w:ascii="Times New Roman" w:eastAsia="仿宋" w:hAnsi="Times New Roman" w:cs="仿宋"/>
          <w:sz w:val="32"/>
          <w:szCs w:val="32"/>
        </w:rPr>
      </w:pPr>
      <w:r>
        <w:rPr>
          <w:noProof/>
        </w:rPr>
        <w:lastRenderedPageBreak/>
        <w:drawing>
          <wp:inline distT="0" distB="0" distL="0" distR="0">
            <wp:extent cx="5274310" cy="3625215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D98" w:rsidRDefault="00724826">
      <w:pPr>
        <w:pStyle w:val="2"/>
        <w:numPr>
          <w:ilvl w:val="0"/>
          <w:numId w:val="9"/>
        </w:numPr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t>数据知识产权交易运营</w:t>
      </w:r>
    </w:p>
    <w:p w:rsidR="00582D98" w:rsidRDefault="00724826">
      <w:pPr>
        <w:ind w:firstLineChars="200" w:firstLine="640"/>
        <w:rPr>
          <w:rFonts w:ascii="Times New Roman" w:eastAsia="仿宋" w:hAnsi="Times New Roman" w:cs="仿宋"/>
          <w:sz w:val="32"/>
          <w:szCs w:val="32"/>
        </w:rPr>
      </w:pPr>
      <w:r>
        <w:rPr>
          <w:rFonts w:ascii="Times New Roman" w:eastAsia="仿宋" w:hAnsi="Times New Roman" w:cs="仿宋" w:hint="eastAsia"/>
          <w:sz w:val="32"/>
          <w:szCs w:val="32"/>
        </w:rPr>
        <w:t>数据运营备案对外展示交易运营相关的数据。系统可支持按数据名称、数据登记号、许可人、被许可人、出质人、质权人等信息进行查询。</w:t>
      </w:r>
    </w:p>
    <w:p w:rsidR="00582D98" w:rsidRDefault="00724826">
      <w:pPr>
        <w:ind w:firstLineChars="200" w:firstLine="640"/>
        <w:rPr>
          <w:rFonts w:ascii="Times New Roman" w:eastAsia="仿宋" w:hAnsi="Times New Roman" w:cs="仿宋"/>
          <w:sz w:val="32"/>
          <w:szCs w:val="32"/>
        </w:rPr>
      </w:pPr>
      <w:r>
        <w:rPr>
          <w:rFonts w:ascii="Times New Roman" w:eastAsia="仿宋" w:hAnsi="Times New Roman" w:cs="仿宋" w:hint="eastAsia"/>
          <w:sz w:val="32"/>
          <w:szCs w:val="32"/>
        </w:rPr>
        <w:t>同时也支持按照交易运营类型进行筛选。</w:t>
      </w:r>
    </w:p>
    <w:p w:rsidR="00582D98" w:rsidRDefault="00724826">
      <w:r>
        <w:rPr>
          <w:noProof/>
        </w:rPr>
        <w:lastRenderedPageBreak/>
        <w:drawing>
          <wp:inline distT="0" distB="0" distL="114300" distR="114300">
            <wp:extent cx="5270500" cy="3658870"/>
            <wp:effectExtent l="0" t="0" r="6350" b="17780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65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724826">
      <w:pPr>
        <w:pStyle w:val="2"/>
        <w:spacing w:beforeLines="100" w:before="312" w:afterLines="50" w:after="156"/>
        <w:jc w:val="left"/>
        <w:rPr>
          <w:rFonts w:ascii="Times New Roman" w:eastAsia="仿宋" w:hAnsi="Times New Roman" w:cs="仿宋"/>
        </w:rPr>
      </w:pPr>
      <w:r>
        <w:rPr>
          <w:rFonts w:ascii="Times New Roman" w:eastAsia="仿宋" w:hAnsi="Times New Roman" w:cs="仿宋" w:hint="eastAsia"/>
        </w:rPr>
        <w:t>九、数据知识产权交易监测系统</w:t>
      </w:r>
    </w:p>
    <w:p w:rsidR="00582D98" w:rsidRDefault="00724826">
      <w:pPr>
        <w:ind w:firstLineChars="200" w:firstLine="640"/>
        <w:rPr>
          <w:rFonts w:ascii="Times New Roman" w:eastAsia="仿宋" w:hAnsi="Times New Roman" w:cs="仿宋"/>
          <w:sz w:val="32"/>
          <w:szCs w:val="32"/>
        </w:rPr>
      </w:pPr>
      <w:r>
        <w:rPr>
          <w:rFonts w:ascii="Times New Roman" w:eastAsia="仿宋" w:hAnsi="Times New Roman" w:cs="仿宋" w:hint="eastAsia"/>
          <w:sz w:val="32"/>
          <w:szCs w:val="32"/>
        </w:rPr>
        <w:t>采用数字大屏方式，对当前平台数据知识产权交易信息进行动态监测与发布。</w:t>
      </w:r>
    </w:p>
    <w:p w:rsidR="00582D98" w:rsidRDefault="00724826">
      <w:r>
        <w:rPr>
          <w:noProof/>
        </w:rPr>
        <w:drawing>
          <wp:inline distT="0" distB="0" distL="114300" distR="114300">
            <wp:extent cx="5271770" cy="2651125"/>
            <wp:effectExtent l="0" t="0" r="5080" b="15875"/>
            <wp:docPr id="2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4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D98" w:rsidRDefault="00582D98">
      <w:pPr>
        <w:rPr>
          <w:rFonts w:ascii="Times New Roman" w:eastAsia="仿宋" w:hAnsi="Times New Roman" w:cs="仿宋"/>
          <w:sz w:val="32"/>
          <w:szCs w:val="32"/>
        </w:rPr>
      </w:pPr>
    </w:p>
    <w:sectPr w:rsidR="00582D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826" w:rsidRDefault="00724826">
      <w:r>
        <w:separator/>
      </w:r>
    </w:p>
  </w:endnote>
  <w:endnote w:type="continuationSeparator" w:id="0">
    <w:p w:rsidR="00724826" w:rsidRDefault="00724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5096209"/>
    </w:sdtPr>
    <w:sdtEndPr/>
    <w:sdtContent>
      <w:p w:rsidR="00582D98" w:rsidRDefault="0072482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6499" w:rsidRPr="00A36499">
          <w:rPr>
            <w:noProof/>
            <w:lang w:val="zh-CN"/>
          </w:rPr>
          <w:t>3</w:t>
        </w:r>
        <w:r>
          <w:fldChar w:fldCharType="end"/>
        </w:r>
      </w:p>
    </w:sdtContent>
  </w:sdt>
  <w:p w:rsidR="00582D98" w:rsidRDefault="00582D9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826" w:rsidRDefault="00724826">
      <w:r>
        <w:separator/>
      </w:r>
    </w:p>
  </w:footnote>
  <w:footnote w:type="continuationSeparator" w:id="0">
    <w:p w:rsidR="00724826" w:rsidRDefault="007248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D98" w:rsidRDefault="00724826">
    <w:pPr>
      <w:pStyle w:val="a5"/>
    </w:pPr>
    <w:r>
      <w:rPr>
        <w:rFonts w:hint="eastAsia"/>
      </w:rPr>
      <w:t>广东省数据知识知识产权存证登记平台用户操作手册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E032AAD"/>
    <w:multiLevelType w:val="singleLevel"/>
    <w:tmpl w:val="AE032AAD"/>
    <w:lvl w:ilvl="0">
      <w:start w:val="1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abstractNum w:abstractNumId="1">
    <w:nsid w:val="CBD8A572"/>
    <w:multiLevelType w:val="singleLevel"/>
    <w:tmpl w:val="CBD8A572"/>
    <w:lvl w:ilvl="0">
      <w:start w:val="1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abstractNum w:abstractNumId="2">
    <w:nsid w:val="01A465D7"/>
    <w:multiLevelType w:val="singleLevel"/>
    <w:tmpl w:val="01A465D7"/>
    <w:lvl w:ilvl="0">
      <w:start w:val="1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abstractNum w:abstractNumId="3">
    <w:nsid w:val="18FC8BB3"/>
    <w:multiLevelType w:val="singleLevel"/>
    <w:tmpl w:val="18FC8BB3"/>
    <w:lvl w:ilvl="0">
      <w:start w:val="1"/>
      <w:numFmt w:val="decimal"/>
      <w:suff w:val="nothing"/>
      <w:lvlText w:val="%1、"/>
      <w:lvlJc w:val="left"/>
    </w:lvl>
  </w:abstractNum>
  <w:abstractNum w:abstractNumId="4">
    <w:nsid w:val="1B385040"/>
    <w:multiLevelType w:val="singleLevel"/>
    <w:tmpl w:val="1B385040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5">
    <w:nsid w:val="1DC48330"/>
    <w:multiLevelType w:val="singleLevel"/>
    <w:tmpl w:val="1DC48330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2A8533B8"/>
    <w:multiLevelType w:val="singleLevel"/>
    <w:tmpl w:val="2A8533B8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39AF169E"/>
    <w:multiLevelType w:val="multilevel"/>
    <w:tmpl w:val="39AF169E"/>
    <w:lvl w:ilvl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425" w:hanging="425"/>
      </w:pPr>
      <w:rPr>
        <w:rFonts w:ascii="黑体" w:eastAsia="黑体" w:hAnsi="黑体" w:cs="黑体" w:hint="eastAsia"/>
        <w:sz w:val="36"/>
        <w:szCs w:val="36"/>
      </w:rPr>
    </w:lvl>
    <w:lvl w:ilvl="1">
      <w:start w:val="1"/>
      <w:numFmt w:val="decimal"/>
      <w:isLgl/>
      <w:suff w:val="nothing"/>
      <w:lvlText w:val="%1.%2."/>
      <w:lvlJc w:val="left"/>
      <w:pPr>
        <w:tabs>
          <w:tab w:val="left" w:pos="420"/>
        </w:tabs>
        <w:ind w:left="567" w:hanging="567"/>
      </w:pPr>
      <w:rPr>
        <w:rFonts w:ascii="宋体" w:eastAsia="宋体" w:hAnsi="宋体" w:cs="宋体" w:hint="eastAsia"/>
      </w:rPr>
    </w:lvl>
    <w:lvl w:ilvl="2">
      <w:start w:val="1"/>
      <w:numFmt w:val="decimal"/>
      <w:pStyle w:val="3"/>
      <w:isLgl/>
      <w:suff w:val="nothing"/>
      <w:lvlText w:val="%1.%2.%3."/>
      <w:lvlJc w:val="left"/>
      <w:pPr>
        <w:tabs>
          <w:tab w:val="left" w:pos="420"/>
        </w:tabs>
        <w:ind w:left="709" w:hanging="709"/>
      </w:pPr>
      <w:rPr>
        <w:rFonts w:ascii="宋体" w:eastAsia="宋体" w:hAnsi="宋体" w:cs="宋体" w:hint="eastAsia"/>
      </w:rPr>
    </w:lvl>
    <w:lvl w:ilvl="3">
      <w:start w:val="1"/>
      <w:numFmt w:val="decimal"/>
      <w:pStyle w:val="4"/>
      <w:isLgl/>
      <w:suff w:val="nothing"/>
      <w:lvlText w:val="%1.%2.%3.%4."/>
      <w:lvlJc w:val="left"/>
      <w:pPr>
        <w:tabs>
          <w:tab w:val="left" w:pos="420"/>
        </w:tabs>
        <w:ind w:left="850" w:hanging="850"/>
      </w:pPr>
      <w:rPr>
        <w:rFonts w:ascii="宋体" w:eastAsia="宋体" w:hAnsi="宋体" w:cs="宋体" w:hint="eastAsia"/>
      </w:rPr>
    </w:lvl>
    <w:lvl w:ilvl="4">
      <w:start w:val="1"/>
      <w:numFmt w:val="decimal"/>
      <w:isLgl/>
      <w:suff w:val="nothing"/>
      <w:lvlText w:val="%1.%2.%3.%4.%5."/>
      <w:lvlJc w:val="left"/>
      <w:pPr>
        <w:tabs>
          <w:tab w:val="left" w:pos="420"/>
        </w:tabs>
        <w:ind w:left="991" w:hanging="991"/>
      </w:pPr>
      <w:rPr>
        <w:rFonts w:ascii="宋体" w:eastAsia="宋体" w:hAnsi="宋体" w:cs="宋体" w:hint="eastAsia"/>
      </w:rPr>
    </w:lvl>
    <w:lvl w:ilvl="5">
      <w:start w:val="1"/>
      <w:numFmt w:val="decimal"/>
      <w:isLgl/>
      <w:suff w:val="nothing"/>
      <w:lvlText w:val="%1.%2.%3.%4.%5.%6."/>
      <w:lvlJc w:val="left"/>
      <w:pPr>
        <w:tabs>
          <w:tab w:val="left" w:pos="420"/>
        </w:tabs>
        <w:ind w:left="1134" w:hanging="1134"/>
      </w:pPr>
      <w:rPr>
        <w:rFonts w:ascii="宋体" w:eastAsia="宋体" w:hAnsi="宋体" w:cs="宋体" w:hint="eastAsia"/>
      </w:rPr>
    </w:lvl>
    <w:lvl w:ilvl="6">
      <w:start w:val="1"/>
      <w:numFmt w:val="decimal"/>
      <w:isLgl/>
      <w:suff w:val="nothing"/>
      <w:lvlText w:val="%1.%2.%3.%4.%5.%6.%7."/>
      <w:lvlJc w:val="left"/>
      <w:pPr>
        <w:tabs>
          <w:tab w:val="left" w:pos="420"/>
        </w:tabs>
        <w:ind w:left="1275" w:hanging="1275"/>
      </w:pPr>
      <w:rPr>
        <w:rFonts w:ascii="宋体" w:eastAsia="宋体" w:hAnsi="宋体" w:cs="宋体"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8" w:hanging="1558"/>
      </w:pPr>
      <w:rPr>
        <w:rFonts w:hint="eastAsia"/>
      </w:rPr>
    </w:lvl>
  </w:abstractNum>
  <w:abstractNum w:abstractNumId="8">
    <w:nsid w:val="705302BD"/>
    <w:multiLevelType w:val="singleLevel"/>
    <w:tmpl w:val="705302BD"/>
    <w:lvl w:ilvl="0">
      <w:start w:val="1"/>
      <w:numFmt w:val="decimal"/>
      <w:suff w:val="nothing"/>
      <w:lvlText w:val="%1、"/>
      <w:lvlJc w:val="left"/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8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D4F"/>
    <w:rsid w:val="0001310A"/>
    <w:rsid w:val="00042C35"/>
    <w:rsid w:val="000679B5"/>
    <w:rsid w:val="000E4C47"/>
    <w:rsid w:val="001B01B4"/>
    <w:rsid w:val="002263C7"/>
    <w:rsid w:val="002667DA"/>
    <w:rsid w:val="002D0210"/>
    <w:rsid w:val="002E53EE"/>
    <w:rsid w:val="00342316"/>
    <w:rsid w:val="003512EB"/>
    <w:rsid w:val="00391453"/>
    <w:rsid w:val="00582D98"/>
    <w:rsid w:val="006742C2"/>
    <w:rsid w:val="00680F5A"/>
    <w:rsid w:val="006A60BA"/>
    <w:rsid w:val="006C5D4F"/>
    <w:rsid w:val="00724826"/>
    <w:rsid w:val="00765549"/>
    <w:rsid w:val="00786DAB"/>
    <w:rsid w:val="00824E2D"/>
    <w:rsid w:val="00887F47"/>
    <w:rsid w:val="009E7A82"/>
    <w:rsid w:val="00A36499"/>
    <w:rsid w:val="00B675D7"/>
    <w:rsid w:val="00CC3E11"/>
    <w:rsid w:val="00CD598B"/>
    <w:rsid w:val="00CF2688"/>
    <w:rsid w:val="00DD040A"/>
    <w:rsid w:val="00E44E38"/>
    <w:rsid w:val="00F92E3C"/>
    <w:rsid w:val="04396CFA"/>
    <w:rsid w:val="0F4865F3"/>
    <w:rsid w:val="11553800"/>
    <w:rsid w:val="170F6A2E"/>
    <w:rsid w:val="174A7DF3"/>
    <w:rsid w:val="1A5E0CC3"/>
    <w:rsid w:val="1DFF016A"/>
    <w:rsid w:val="33F151B2"/>
    <w:rsid w:val="3CDB71F4"/>
    <w:rsid w:val="4062261F"/>
    <w:rsid w:val="44316B84"/>
    <w:rsid w:val="61F862AC"/>
    <w:rsid w:val="6E9A0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8F9CA42-A18D-47F6-A15B-4D20B46E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next w:val="a"/>
    <w:uiPriority w:val="9"/>
    <w:unhideWhenUsed/>
    <w:qFormat/>
    <w:pPr>
      <w:keepNext/>
      <w:keepLines/>
      <w:numPr>
        <w:ilvl w:val="2"/>
        <w:numId w:val="1"/>
      </w:numPr>
      <w:tabs>
        <w:tab w:val="left" w:pos="0"/>
      </w:tabs>
      <w:spacing w:before="260" w:after="260" w:line="413" w:lineRule="auto"/>
      <w:outlineLvl w:val="2"/>
    </w:pPr>
    <w:rPr>
      <w:rFonts w:ascii="Calibri" w:eastAsia="宋体" w:hAnsi="Calibri"/>
      <w:b/>
      <w:sz w:val="32"/>
    </w:rPr>
  </w:style>
  <w:style w:type="paragraph" w:styleId="4">
    <w:name w:val="heading 4"/>
    <w:next w:val="a"/>
    <w:uiPriority w:val="9"/>
    <w:unhideWhenUsed/>
    <w:qFormat/>
    <w:pPr>
      <w:keepNext/>
      <w:keepLines/>
      <w:numPr>
        <w:ilvl w:val="3"/>
        <w:numId w:val="1"/>
      </w:numPr>
      <w:tabs>
        <w:tab w:val="left" w:pos="0"/>
      </w:tabs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next w:val="a"/>
    <w:link w:val="Char2"/>
    <w:uiPriority w:val="10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table" w:styleId="a7">
    <w:name w:val="Table Grid"/>
    <w:basedOn w:val="a1"/>
    <w:uiPriority w:val="5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customStyle="1" w:styleId="BodyText">
    <w:name w:val="BodyText"/>
    <w:basedOn w:val="a"/>
    <w:next w:val="a6"/>
    <w:qFormat/>
    <w:pPr>
      <w:spacing w:line="596" w:lineRule="exact"/>
      <w:ind w:firstLine="640"/>
      <w:textAlignment w:val="baseline"/>
    </w:pPr>
    <w:rPr>
      <w:rFonts w:ascii="宋体" w:eastAsia="宋体" w:hAnsi="宋体" w:cs="Times New Roman"/>
      <w:spacing w:val="-2"/>
      <w:kern w:val="0"/>
      <w:sz w:val="32"/>
      <w:szCs w:val="24"/>
    </w:rPr>
  </w:style>
  <w:style w:type="character" w:customStyle="1" w:styleId="Char2">
    <w:name w:val="标题 Char"/>
    <w:basedOn w:val="a0"/>
    <w:link w:val="a6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438</Words>
  <Characters>2501</Characters>
  <Application>Microsoft Office Word</Application>
  <DocSecurity>0</DocSecurity>
  <Lines>20</Lines>
  <Paragraphs>5</Paragraphs>
  <ScaleCrop>false</ScaleCrop>
  <Company>family</Company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关乐乐</dc:creator>
  <cp:lastModifiedBy>孙伟</cp:lastModifiedBy>
  <cp:revision>2</cp:revision>
  <dcterms:created xsi:type="dcterms:W3CDTF">2026-06-22T06:00:00Z</dcterms:created>
  <dcterms:modified xsi:type="dcterms:W3CDTF">2026-06-22T06:00:00Z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eyJoZGlkIjoiYjljZWQ3Njg5MGQ1YTdjYzRkODI5OGRmNDFkMzg0ZDQiLCJ1c2VySWQiOiI3NjE3ODIxODIifQ==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F2CDD4BF4295436989E4B0DDF8E4D6AA_12</vt:lpwstr>
  </property>
</Properties>
</file>